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9" w:rsidRDefault="008D46B9" w:rsidP="008D46B9">
      <w:pPr>
        <w:spacing w:line="276" w:lineRule="auto"/>
        <w:ind w:firstLine="708"/>
        <w:jc w:val="both"/>
      </w:pPr>
      <w:r w:rsidRPr="00826865">
        <w:t xml:space="preserve">СМК органа по сертификации продукции </w:t>
      </w:r>
      <w:r>
        <w:t>Общество с ограниченной ответственностью «ЛАЙФ-Стандарт»</w:t>
      </w:r>
      <w:r w:rsidRPr="00826865">
        <w:t xml:space="preserve"> (ОСП), </w:t>
      </w:r>
      <w:proofErr w:type="gramStart"/>
      <w:r w:rsidRPr="00826865">
        <w:t>оформлена</w:t>
      </w:r>
      <w:proofErr w:type="gramEnd"/>
      <w:r w:rsidRPr="00826865">
        <w:t xml:space="preserve"> в виде совокупности следующих документов:</w:t>
      </w:r>
    </w:p>
    <w:p w:rsidR="008D46B9" w:rsidRPr="00826865" w:rsidRDefault="008D46B9" w:rsidP="008D46B9">
      <w:pPr>
        <w:spacing w:line="276" w:lineRule="auto"/>
        <w:ind w:firstLine="708"/>
        <w:jc w:val="both"/>
      </w:pPr>
      <w:bookmarkStart w:id="0" w:name="_GoBack"/>
      <w:bookmarkEnd w:id="0"/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425"/>
        <w:gridCol w:w="6724"/>
      </w:tblGrid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t>СМК ОСП-01</w:t>
            </w:r>
            <w:r w:rsidRPr="002B1C6E">
              <w:rPr>
                <w:lang w:val="en-US"/>
              </w:rPr>
              <w:t>.</w:t>
            </w:r>
            <w:r w:rsidRPr="002B1C6E">
              <w:t>РК.</w:t>
            </w:r>
            <w:r w:rsidRPr="002B1C6E">
              <w:rPr>
                <w:lang w:val="en-US"/>
              </w:rPr>
              <w:t>01</w:t>
            </w:r>
            <w:r w:rsidRPr="002B1C6E">
              <w:t>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 xml:space="preserve">Руководство по качеству ОСП </w:t>
            </w:r>
            <w:r w:rsidRPr="002B1C6E">
              <w:rPr>
                <w:color w:val="000000"/>
                <w:spacing w:val="-4"/>
              </w:rPr>
              <w:t>ООО «ЛАЙФ-Стандарт»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ОСП-02.ДП.01/04-2017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«Управление документацией»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ОСП-02.ДП.02/04-2017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«Управление записями»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ОСП-02.ДП.03/04-2017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«Внутренние аудиты»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ОСП-02.ДП.04/04-2017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«Анализ со стороны руково</w:t>
            </w:r>
            <w:r w:rsidRPr="002B1C6E">
              <w:rPr>
                <w:rFonts w:eastAsia="Calibri"/>
                <w:spacing w:val="-4"/>
              </w:rPr>
              <w:t>д</w:t>
            </w:r>
            <w:r w:rsidRPr="002B1C6E">
              <w:rPr>
                <w:rFonts w:eastAsia="Calibri"/>
                <w:spacing w:val="-4"/>
              </w:rPr>
              <w:t>ства»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ОСП-02.ДП.05/04-2017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«Управление несоответствиями»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ОСП-02.ДП.06/04-2017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«Корректирующие и предупр</w:t>
            </w:r>
            <w:r w:rsidRPr="002B1C6E">
              <w:rPr>
                <w:rFonts w:eastAsia="Calibri"/>
                <w:spacing w:val="-4"/>
              </w:rPr>
              <w:t>е</w:t>
            </w:r>
            <w:r w:rsidRPr="002B1C6E">
              <w:rPr>
                <w:rFonts w:eastAsia="Calibri"/>
                <w:spacing w:val="-4"/>
              </w:rPr>
              <w:t>ждающие действия»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ОСП-02.ДП.07/04-2017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«Обеспечение конфиденциальн</w:t>
            </w:r>
            <w:r w:rsidRPr="002B1C6E">
              <w:rPr>
                <w:rFonts w:eastAsia="Calibri"/>
                <w:spacing w:val="-4"/>
              </w:rPr>
              <w:t>о</w:t>
            </w:r>
            <w:r w:rsidRPr="002B1C6E">
              <w:rPr>
                <w:rFonts w:eastAsia="Calibri"/>
                <w:spacing w:val="-4"/>
              </w:rPr>
              <w:t>сти информации, полученной при сертификации продукции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ОСП-02.ДП.08/04-2017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 xml:space="preserve">Документированная процедура «Управление персоналом» 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ОСП-02.ДП.09/04-2017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«Кодекс этики эксперта»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ОСП-02.ДП.10/04-2017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«Подтверждение соответствия продукции»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ОСП-02.ДП.11/04-2017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Документированная процедура «Порядок рассмотрения жалоб и апелляций»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ОСП-03.ПО.01/04-2017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 xml:space="preserve">Положение </w:t>
            </w:r>
            <w:proofErr w:type="gramStart"/>
            <w:r w:rsidRPr="002B1C6E">
              <w:rPr>
                <w:rFonts w:eastAsia="Calibri"/>
                <w:spacing w:val="-4"/>
              </w:rPr>
              <w:t>об</w:t>
            </w:r>
            <w:proofErr w:type="gramEnd"/>
            <w:r w:rsidRPr="002B1C6E">
              <w:rPr>
                <w:rFonts w:eastAsia="Calibri"/>
                <w:spacing w:val="-4"/>
              </w:rPr>
              <w:t xml:space="preserve"> </w:t>
            </w:r>
            <w:proofErr w:type="gramStart"/>
            <w:r w:rsidRPr="002B1C6E">
              <w:rPr>
                <w:rFonts w:eastAsia="Calibri"/>
                <w:spacing w:val="-4"/>
              </w:rPr>
              <w:t>ОСП</w:t>
            </w:r>
            <w:proofErr w:type="gramEnd"/>
            <w:r w:rsidRPr="002B1C6E">
              <w:rPr>
                <w:rFonts w:eastAsia="Calibri"/>
                <w:spacing w:val="-4"/>
              </w:rPr>
              <w:t xml:space="preserve"> </w:t>
            </w:r>
            <w:r w:rsidRPr="002B1C6E">
              <w:rPr>
                <w:color w:val="000000"/>
                <w:spacing w:val="-4"/>
              </w:rPr>
              <w:t xml:space="preserve">ООО «ЛАЙФ-Стандарт» </w:t>
            </w:r>
          </w:p>
        </w:tc>
      </w:tr>
      <w:tr w:rsidR="008D46B9" w:rsidRPr="002B1C6E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ОСП-03.ПО.02/04-2017</w:t>
            </w:r>
          </w:p>
        </w:tc>
        <w:tc>
          <w:tcPr>
            <w:tcW w:w="6724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Положение о комитете по обеспечению беспристрастности</w:t>
            </w:r>
          </w:p>
        </w:tc>
      </w:tr>
      <w:tr w:rsidR="008D46B9" w:rsidRPr="00826865" w:rsidTr="00B95161">
        <w:trPr>
          <w:jc w:val="center"/>
        </w:trPr>
        <w:tc>
          <w:tcPr>
            <w:tcW w:w="3425" w:type="dxa"/>
            <w:shd w:val="clear" w:color="auto" w:fill="auto"/>
          </w:tcPr>
          <w:p w:rsidR="008D46B9" w:rsidRPr="002B1C6E" w:rsidRDefault="008D46B9" w:rsidP="00B95161">
            <w:pPr>
              <w:spacing w:line="276" w:lineRule="auto"/>
              <w:ind w:left="-62"/>
              <w:jc w:val="center"/>
              <w:rPr>
                <w:rFonts w:eastAsia="Calibri"/>
              </w:rPr>
            </w:pPr>
            <w:r w:rsidRPr="002B1C6E">
              <w:rPr>
                <w:rFonts w:eastAsia="Calibri"/>
              </w:rPr>
              <w:t>СМК ОСП-03.ПО.03/04-2017</w:t>
            </w:r>
          </w:p>
        </w:tc>
        <w:tc>
          <w:tcPr>
            <w:tcW w:w="6724" w:type="dxa"/>
            <w:shd w:val="clear" w:color="auto" w:fill="auto"/>
          </w:tcPr>
          <w:p w:rsidR="008D46B9" w:rsidRPr="00826865" w:rsidRDefault="008D46B9" w:rsidP="00B95161">
            <w:pPr>
              <w:spacing w:line="276" w:lineRule="auto"/>
              <w:rPr>
                <w:rFonts w:eastAsia="Calibri"/>
                <w:spacing w:val="-4"/>
              </w:rPr>
            </w:pPr>
            <w:r w:rsidRPr="002B1C6E">
              <w:rPr>
                <w:rFonts w:eastAsia="Calibri"/>
                <w:spacing w:val="-4"/>
              </w:rPr>
              <w:t>Положение об Управляющем Совете</w:t>
            </w:r>
          </w:p>
        </w:tc>
      </w:tr>
    </w:tbl>
    <w:p w:rsidR="00711BFD" w:rsidRDefault="00711BFD"/>
    <w:sectPr w:rsidR="00711BFD" w:rsidSect="00711BF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9"/>
    <w:rsid w:val="001D442C"/>
    <w:rsid w:val="005B1598"/>
    <w:rsid w:val="00711BFD"/>
    <w:rsid w:val="008C166F"/>
    <w:rsid w:val="008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Астахов</dc:creator>
  <cp:lastModifiedBy>Юрий Астахов</cp:lastModifiedBy>
  <cp:revision>1</cp:revision>
  <dcterms:created xsi:type="dcterms:W3CDTF">2018-11-27T14:00:00Z</dcterms:created>
  <dcterms:modified xsi:type="dcterms:W3CDTF">2018-11-27T14:01:00Z</dcterms:modified>
</cp:coreProperties>
</file>